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3"/>
      </w:pPr>
      <w:r>
        <w:t>AAN DE RAAD VAN DE GEMEENTE TEN BOER</w:t>
      </w:r>
    </w:p>
    <w:p>
      <w:pPr>
        <w:sectPr>
          <w:pgSz w:w="11907" w:h="16840"/>
          <w:pgMar w:top="1418" w:right="1418" w:bottom="1418" w:left="1418" w:header="708" w:footer="708" w:gutter="0"/>
          <w:cols w:space="708" w:num="1"/>
        </w:sectPr>
      </w:pPr>
    </w:p>
    <w:p/>
    <w:tbl>
      <w:tblPr>
        <w:tblStyle w:val="5"/>
        <w:tblW w:w="9142" w:type="dxa"/>
        <w:tblInd w:w="0" w:type="dxa"/>
        <w:tblLayout w:type="fixed"/>
        <w:tblCellMar>
          <w:top w:w="0" w:type="dxa"/>
          <w:left w:w="70" w:type="dxa"/>
          <w:bottom w:w="0" w:type="dxa"/>
          <w:right w:w="70" w:type="dxa"/>
        </w:tblCellMar>
      </w:tblPr>
      <w:tblGrid>
        <w:gridCol w:w="2055"/>
        <w:gridCol w:w="3118"/>
        <w:gridCol w:w="3969"/>
      </w:tblGrid>
      <w:tr>
        <w:tblPrEx>
          <w:tblLayout w:type="fixed"/>
          <w:tblCellMar>
            <w:top w:w="0" w:type="dxa"/>
            <w:left w:w="70" w:type="dxa"/>
            <w:bottom w:w="0" w:type="dxa"/>
            <w:right w:w="70" w:type="dxa"/>
          </w:tblCellMar>
        </w:tblPrEx>
        <w:tc>
          <w:tcPr>
            <w:tcW w:w="2055" w:type="dxa"/>
          </w:tcPr>
          <w:p>
            <w:pPr>
              <w:rPr>
                <w:rFonts w:ascii="Arial" w:hAnsi="Arial"/>
                <w:b/>
              </w:rPr>
            </w:pPr>
            <w:r>
              <w:rPr>
                <w:rFonts w:ascii="Arial" w:hAnsi="Arial"/>
                <w:b/>
              </w:rPr>
              <w:t>Raadsvergadering:</w:t>
            </w:r>
          </w:p>
        </w:tc>
        <w:tc>
          <w:tcPr>
            <w:tcW w:w="7087" w:type="dxa"/>
            <w:gridSpan w:val="2"/>
          </w:tcPr>
          <w:p>
            <w:pPr>
              <w:keepNext/>
              <w:widowControl w:val="0"/>
              <w:suppressAutoHyphens/>
              <w:rPr>
                <w:rFonts w:ascii="Arial" w:hAnsi="Arial"/>
              </w:rPr>
            </w:pPr>
            <w:bookmarkStart w:id="0" w:name="Tekstvak4"/>
            <w:r>
              <w:rPr>
                <w:rFonts w:ascii="Arial" w:hAnsi="Arial"/>
              </w:rPr>
              <w:t>29 maart 2017</w:t>
            </w:r>
            <w:bookmarkEnd w:id="0"/>
          </w:p>
        </w:tc>
      </w:tr>
      <w:tr>
        <w:tblPrEx>
          <w:tblLayout w:type="fixed"/>
          <w:tblCellMar>
            <w:top w:w="0" w:type="dxa"/>
            <w:left w:w="70" w:type="dxa"/>
            <w:bottom w:w="0" w:type="dxa"/>
            <w:right w:w="70" w:type="dxa"/>
          </w:tblCellMar>
        </w:tblPrEx>
        <w:tc>
          <w:tcPr>
            <w:tcW w:w="2055" w:type="dxa"/>
          </w:tcPr>
          <w:p>
            <w:pPr>
              <w:rPr>
                <w:rFonts w:ascii="Arial" w:hAnsi="Arial"/>
                <w:b/>
              </w:rPr>
            </w:pPr>
          </w:p>
        </w:tc>
        <w:tc>
          <w:tcPr>
            <w:tcW w:w="7087" w:type="dxa"/>
            <w:gridSpan w:val="2"/>
          </w:tcPr>
          <w:p>
            <w:pPr>
              <w:keepNext/>
              <w:widowControl w:val="0"/>
              <w:suppressAutoHyphens/>
              <w:rPr>
                <w:rFonts w:ascii="Arial" w:hAnsi="Arial"/>
              </w:rPr>
            </w:pPr>
          </w:p>
        </w:tc>
      </w:tr>
      <w:tr>
        <w:tblPrEx>
          <w:tblLayout w:type="fixed"/>
          <w:tblCellMar>
            <w:top w:w="0" w:type="dxa"/>
            <w:left w:w="70" w:type="dxa"/>
            <w:bottom w:w="0" w:type="dxa"/>
            <w:right w:w="70" w:type="dxa"/>
          </w:tblCellMar>
        </w:tblPrEx>
        <w:tc>
          <w:tcPr>
            <w:tcW w:w="2055" w:type="dxa"/>
          </w:tcPr>
          <w:p>
            <w:pPr>
              <w:rPr>
                <w:rFonts w:ascii="Arial" w:hAnsi="Arial"/>
                <w:b/>
              </w:rPr>
            </w:pPr>
            <w:r>
              <w:rPr>
                <w:rFonts w:ascii="Arial" w:hAnsi="Arial"/>
                <w:b/>
              </w:rPr>
              <w:t>Registratienummer:</w:t>
            </w:r>
          </w:p>
        </w:tc>
        <w:tc>
          <w:tcPr>
            <w:tcW w:w="7087" w:type="dxa"/>
            <w:gridSpan w:val="2"/>
          </w:tcPr>
          <w:p>
            <w:pPr>
              <w:keepNext/>
              <w:widowControl w:val="0"/>
              <w:suppressAutoHyphens/>
              <w:rPr>
                <w:rFonts w:ascii="Arial" w:hAnsi="Arial"/>
              </w:rPr>
            </w:pPr>
            <w:bookmarkStart w:id="1" w:name="Tekstvak19"/>
            <w:r>
              <w:rPr>
                <w:rFonts w:ascii="Arial" w:hAnsi="Arial"/>
              </w:rPr>
              <w:t xml:space="preserve">TB17.6251274     </w:t>
            </w:r>
            <w:bookmarkEnd w:id="1"/>
          </w:p>
        </w:tc>
      </w:tr>
      <w:tr>
        <w:tblPrEx>
          <w:tblLayout w:type="fixed"/>
          <w:tblCellMar>
            <w:top w:w="0" w:type="dxa"/>
            <w:left w:w="70" w:type="dxa"/>
            <w:bottom w:w="0" w:type="dxa"/>
            <w:right w:w="70" w:type="dxa"/>
          </w:tblCellMar>
        </w:tblPrEx>
        <w:tc>
          <w:tcPr>
            <w:tcW w:w="2055" w:type="dxa"/>
          </w:tcPr>
          <w:p>
            <w:pPr>
              <w:rPr>
                <w:rFonts w:ascii="Arial" w:hAnsi="Arial"/>
                <w:b/>
              </w:rPr>
            </w:pPr>
          </w:p>
        </w:tc>
        <w:tc>
          <w:tcPr>
            <w:tcW w:w="7087" w:type="dxa"/>
            <w:gridSpan w:val="2"/>
          </w:tcPr>
          <w:p>
            <w:pPr>
              <w:keepNext/>
              <w:widowControl w:val="0"/>
              <w:suppressAutoHyphens/>
              <w:rPr>
                <w:rFonts w:ascii="Arial" w:hAnsi="Arial"/>
              </w:rPr>
            </w:pPr>
          </w:p>
        </w:tc>
      </w:tr>
      <w:tr>
        <w:tblPrEx>
          <w:tblLayout w:type="fixed"/>
          <w:tblCellMar>
            <w:top w:w="0" w:type="dxa"/>
            <w:left w:w="70" w:type="dxa"/>
            <w:bottom w:w="0" w:type="dxa"/>
            <w:right w:w="70" w:type="dxa"/>
          </w:tblCellMar>
        </w:tblPrEx>
        <w:tc>
          <w:tcPr>
            <w:tcW w:w="2055" w:type="dxa"/>
          </w:tcPr>
          <w:p>
            <w:pPr>
              <w:rPr>
                <w:rFonts w:ascii="Arial" w:hAnsi="Arial"/>
                <w:b/>
              </w:rPr>
            </w:pPr>
            <w:r>
              <w:rPr>
                <w:rFonts w:ascii="Arial" w:hAnsi="Arial"/>
                <w:b/>
              </w:rPr>
              <w:t>Agendapunt:</w:t>
            </w:r>
          </w:p>
        </w:tc>
        <w:tc>
          <w:tcPr>
            <w:tcW w:w="7087" w:type="dxa"/>
            <w:gridSpan w:val="2"/>
          </w:tcPr>
          <w:p>
            <w:pPr>
              <w:keepNext/>
              <w:widowControl w:val="0"/>
              <w:suppressAutoHyphens/>
              <w:rPr>
                <w:rFonts w:ascii="Arial" w:hAnsi="Arial"/>
              </w:rPr>
            </w:pPr>
            <w:bookmarkStart w:id="2" w:name="Tekstvak6"/>
            <w:r>
              <w:rPr>
                <w:rFonts w:ascii="Arial" w:hAnsi="Arial"/>
              </w:rPr>
              <w:t xml:space="preserve">12     </w:t>
            </w:r>
            <w:bookmarkEnd w:id="2"/>
          </w:p>
        </w:tc>
      </w:tr>
      <w:tr>
        <w:tblPrEx>
          <w:tblLayout w:type="fixed"/>
          <w:tblCellMar>
            <w:top w:w="0" w:type="dxa"/>
            <w:left w:w="70" w:type="dxa"/>
            <w:bottom w:w="0" w:type="dxa"/>
            <w:right w:w="70" w:type="dxa"/>
          </w:tblCellMar>
        </w:tblPrEx>
        <w:tc>
          <w:tcPr>
            <w:tcW w:w="2055" w:type="dxa"/>
          </w:tcPr>
          <w:p>
            <w:pPr>
              <w:rPr>
                <w:rFonts w:ascii="Arial" w:hAnsi="Arial"/>
                <w:b/>
              </w:rPr>
            </w:pPr>
          </w:p>
        </w:tc>
        <w:tc>
          <w:tcPr>
            <w:tcW w:w="7087" w:type="dxa"/>
            <w:gridSpan w:val="2"/>
          </w:tcPr>
          <w:p>
            <w:pPr>
              <w:keepNext/>
              <w:widowControl w:val="0"/>
              <w:suppressAutoHyphens/>
              <w:rPr>
                <w:rFonts w:ascii="Arial" w:hAnsi="Arial"/>
              </w:rPr>
            </w:pPr>
          </w:p>
        </w:tc>
      </w:tr>
      <w:tr>
        <w:tblPrEx>
          <w:tblLayout w:type="fixed"/>
          <w:tblCellMar>
            <w:top w:w="0" w:type="dxa"/>
            <w:left w:w="70" w:type="dxa"/>
            <w:bottom w:w="0" w:type="dxa"/>
            <w:right w:w="70" w:type="dxa"/>
          </w:tblCellMar>
        </w:tblPrEx>
        <w:tc>
          <w:tcPr>
            <w:tcW w:w="2055" w:type="dxa"/>
          </w:tcPr>
          <w:p>
            <w:pPr>
              <w:rPr>
                <w:rFonts w:ascii="Arial" w:hAnsi="Arial"/>
                <w:b/>
              </w:rPr>
            </w:pPr>
            <w:r>
              <w:rPr>
                <w:rFonts w:ascii="Arial" w:hAnsi="Arial"/>
                <w:b/>
              </w:rPr>
              <w:t>Onderwerp:</w:t>
            </w:r>
          </w:p>
        </w:tc>
        <w:tc>
          <w:tcPr>
            <w:tcW w:w="7087" w:type="dxa"/>
            <w:gridSpan w:val="2"/>
          </w:tcPr>
          <w:p>
            <w:pPr>
              <w:keepNext/>
              <w:widowControl w:val="0"/>
              <w:suppressAutoHyphens/>
              <w:rPr>
                <w:rFonts w:ascii="Arial" w:hAnsi="Arial"/>
              </w:rPr>
            </w:pPr>
            <w:bookmarkStart w:id="3" w:name="Tekstvak7"/>
            <w:r>
              <w:rPr>
                <w:rFonts w:ascii="Arial" w:hAnsi="Arial"/>
              </w:rPr>
              <w:t>Beleidskader Woldwijk</w:t>
            </w:r>
            <w:bookmarkEnd w:id="3"/>
          </w:p>
        </w:tc>
      </w:tr>
      <w:tr>
        <w:tblPrEx>
          <w:tblLayout w:type="fixed"/>
          <w:tblCellMar>
            <w:top w:w="0" w:type="dxa"/>
            <w:left w:w="70" w:type="dxa"/>
            <w:bottom w:w="0" w:type="dxa"/>
            <w:right w:w="70" w:type="dxa"/>
          </w:tblCellMar>
        </w:tblPrEx>
        <w:tc>
          <w:tcPr>
            <w:tcW w:w="2055" w:type="dxa"/>
          </w:tcPr>
          <w:p>
            <w:pPr>
              <w:rPr>
                <w:rFonts w:ascii="Arial" w:hAnsi="Arial"/>
                <w:b/>
              </w:rPr>
            </w:pPr>
          </w:p>
        </w:tc>
        <w:tc>
          <w:tcPr>
            <w:tcW w:w="7087" w:type="dxa"/>
            <w:gridSpan w:val="2"/>
          </w:tcPr>
          <w:p>
            <w:pPr>
              <w:keepNext/>
              <w:widowControl w:val="0"/>
              <w:suppressAutoHyphens/>
              <w:rPr>
                <w:rFonts w:ascii="Arial" w:hAnsi="Arial"/>
              </w:rPr>
            </w:pPr>
          </w:p>
        </w:tc>
      </w:tr>
      <w:tr>
        <w:tblPrEx>
          <w:tblLayout w:type="fixed"/>
          <w:tblCellMar>
            <w:top w:w="0" w:type="dxa"/>
            <w:left w:w="70" w:type="dxa"/>
            <w:bottom w:w="0" w:type="dxa"/>
            <w:right w:w="70" w:type="dxa"/>
          </w:tblCellMar>
        </w:tblPrEx>
        <w:tc>
          <w:tcPr>
            <w:tcW w:w="2055" w:type="dxa"/>
          </w:tcPr>
          <w:p>
            <w:pPr>
              <w:rPr>
                <w:rFonts w:ascii="Arial" w:hAnsi="Arial"/>
                <w:b/>
              </w:rPr>
            </w:pPr>
            <w:r>
              <w:rPr>
                <w:rFonts w:ascii="Arial" w:hAnsi="Arial"/>
                <w:b/>
              </w:rPr>
              <w:t>Voorstel:</w:t>
            </w:r>
          </w:p>
        </w:tc>
        <w:tc>
          <w:tcPr>
            <w:tcW w:w="7087" w:type="dxa"/>
            <w:gridSpan w:val="2"/>
          </w:tcPr>
          <w:p>
            <w:pPr>
              <w:keepNext/>
              <w:widowControl w:val="0"/>
              <w:suppressAutoHyphens/>
              <w:rPr>
                <w:rFonts w:ascii="Arial" w:hAnsi="Arial"/>
              </w:rPr>
            </w:pPr>
            <w:bookmarkStart w:id="4" w:name="Tekstvak8"/>
            <w:r>
              <w:rPr>
                <w:rFonts w:ascii="Arial" w:hAnsi="Arial"/>
              </w:rPr>
              <w:t>Het beleidskader Woldwijk vast te stellen</w:t>
            </w:r>
            <w:bookmarkEnd w:id="4"/>
          </w:p>
        </w:tc>
      </w:tr>
      <w:tr>
        <w:tblPrEx>
          <w:tblLayout w:type="fixed"/>
          <w:tblCellMar>
            <w:top w:w="0" w:type="dxa"/>
            <w:left w:w="70" w:type="dxa"/>
            <w:bottom w:w="0" w:type="dxa"/>
            <w:right w:w="70" w:type="dxa"/>
          </w:tblCellMar>
        </w:tblPrEx>
        <w:tc>
          <w:tcPr>
            <w:tcW w:w="2055" w:type="dxa"/>
          </w:tcPr>
          <w:p>
            <w:pPr>
              <w:rPr>
                <w:rFonts w:ascii="Arial" w:hAnsi="Arial"/>
                <w:b/>
              </w:rPr>
            </w:pPr>
          </w:p>
        </w:tc>
        <w:tc>
          <w:tcPr>
            <w:tcW w:w="7087" w:type="dxa"/>
            <w:gridSpan w:val="2"/>
          </w:tcPr>
          <w:p>
            <w:pPr>
              <w:keepNext/>
              <w:widowControl w:val="0"/>
              <w:suppressAutoHyphens/>
              <w:rPr>
                <w:rFonts w:ascii="Arial" w:hAnsi="Arial"/>
              </w:rPr>
            </w:pPr>
          </w:p>
        </w:tc>
      </w:tr>
      <w:tr>
        <w:tblPrEx>
          <w:tblLayout w:type="fixed"/>
          <w:tblCellMar>
            <w:top w:w="0" w:type="dxa"/>
            <w:left w:w="70" w:type="dxa"/>
            <w:bottom w:w="0" w:type="dxa"/>
            <w:right w:w="70" w:type="dxa"/>
          </w:tblCellMar>
        </w:tblPrEx>
        <w:tc>
          <w:tcPr>
            <w:tcW w:w="2055" w:type="dxa"/>
          </w:tcPr>
          <w:p>
            <w:pPr>
              <w:rPr>
                <w:rFonts w:ascii="Arial" w:hAnsi="Arial" w:cs="Arial"/>
                <w:b/>
                <w:u w:val="single"/>
              </w:rPr>
            </w:pPr>
            <w:r>
              <w:rPr>
                <w:rFonts w:ascii="Arial" w:hAnsi="Arial" w:cs="Arial"/>
                <w:b/>
                <w:u w:val="single"/>
              </w:rPr>
              <w:t>Toelichting:</w:t>
            </w:r>
          </w:p>
        </w:tc>
        <w:tc>
          <w:tcPr>
            <w:tcW w:w="7087" w:type="dxa"/>
            <w:gridSpan w:val="2"/>
          </w:tcPr>
          <w:p>
            <w:pPr>
              <w:rPr>
                <w:rFonts w:ascii="Arial" w:hAnsi="Arial" w:cs="Arial"/>
                <w:b/>
              </w:rPr>
            </w:pPr>
            <w:bookmarkStart w:id="5" w:name="Tekstvak9"/>
            <w:r>
              <w:rPr>
                <w:rFonts w:ascii="Arial" w:hAnsi="Arial" w:cs="Arial"/>
                <w:b/>
              </w:rPr>
              <w:t>Aanleiding</w:t>
            </w:r>
          </w:p>
          <w:p>
            <w:pPr>
              <w:rPr>
                <w:rFonts w:ascii="Arial" w:hAnsi="Arial" w:cs="Arial"/>
              </w:rPr>
            </w:pPr>
            <w:r>
              <w:rPr>
                <w:rFonts w:ascii="Arial" w:hAnsi="Arial" w:cs="Arial"/>
              </w:rPr>
              <w:t>Het moment begint te naderen dat de eerste initiatiefnemers activiteiten gaan ontplooien op Woldwijk. Er zijn initiatieven die zo experimenteel zijn (denk bv. aan ‘tiny houses’), dat ze niet in de gebruikelijke vergunningprocedures onder te brengen zijn.</w:t>
            </w:r>
            <w:r>
              <w:rPr>
                <w:rFonts w:ascii="Arial" w:hAnsi="Arial" w:cs="Arial"/>
              </w:rPr>
              <w:br w:type="textWrapping"/>
            </w:r>
          </w:p>
          <w:p>
            <w:pPr>
              <w:rPr>
                <w:rFonts w:ascii="Arial" w:hAnsi="Arial" w:cs="Arial"/>
              </w:rPr>
            </w:pPr>
            <w:r>
              <w:rPr>
                <w:rFonts w:ascii="Arial" w:hAnsi="Arial" w:cs="Arial"/>
              </w:rPr>
              <w:t>Het karakter van Woldwijk, namelijk een proeftuin te zijn voor activiteiten die duurzaam zijn en een bijdrage leveren aan de samenleving van Ten Boer, staat op gespannen voet met ons systeem van wet- en regelgeving. Niet alleen qua inhoud (niet of moeilijk vergunning voor te verlenen) maar ook de doorlooptijd van onze vergunningprocedures staat soms op gespannen voet met het karakter van proeftuin.</w:t>
            </w:r>
          </w:p>
          <w:p>
            <w:pPr>
              <w:rPr>
                <w:rFonts w:ascii="Arial" w:hAnsi="Arial" w:cs="Arial"/>
              </w:rPr>
            </w:pPr>
          </w:p>
          <w:p>
            <w:pPr>
              <w:rPr>
                <w:rFonts w:ascii="Arial" w:hAnsi="Arial" w:cs="Arial"/>
              </w:rPr>
            </w:pPr>
            <w:r>
              <w:rPr>
                <w:rFonts w:ascii="Arial" w:hAnsi="Arial" w:cs="Arial"/>
              </w:rPr>
              <w:t xml:space="preserve">Daar staat tegenover dat de voorgenomen activiteiten op Woldwijk in 2017 beperkt van aard en omvang zullen zijn en zich ruimtelijk gezien beperken tot de boerderij Wolddijk 7 en haar directe omgeving. Dat gebied fungeert dit jaar als katalysator voor de verdere ontwikkeling van Woldwijk als geheel. </w:t>
            </w:r>
          </w:p>
          <w:p>
            <w:pPr>
              <w:rPr>
                <w:rFonts w:ascii="Arial" w:hAnsi="Arial" w:cs="Arial"/>
              </w:rPr>
            </w:pPr>
          </w:p>
          <w:p>
            <w:pPr>
              <w:rPr>
                <w:rFonts w:ascii="Arial" w:hAnsi="Arial" w:cs="Arial"/>
              </w:rPr>
            </w:pPr>
            <w:r>
              <w:rPr>
                <w:rFonts w:ascii="Arial" w:hAnsi="Arial" w:cs="Arial"/>
              </w:rPr>
              <w:t>Om vergunningverlening toch mogelijk te maken, wordt aan u voorgesteld om bijgevoegd beleidskader vast te stellen, als toetsingskader voor de vergunningverlening.</w:t>
            </w:r>
          </w:p>
          <w:p>
            <w:pPr>
              <w:rPr>
                <w:rFonts w:ascii="Arial" w:hAnsi="Arial" w:cs="Arial"/>
              </w:rPr>
            </w:pPr>
          </w:p>
          <w:p>
            <w:pPr>
              <w:rPr>
                <w:rFonts w:ascii="Arial" w:hAnsi="Arial" w:cs="Arial"/>
              </w:rPr>
            </w:pPr>
            <w:r>
              <w:rPr>
                <w:rFonts w:ascii="Arial" w:hAnsi="Arial" w:cs="Arial"/>
              </w:rPr>
              <w:t xml:space="preserve">In lijn met diverse andere situaties in Nederland, om te kunnen experimenteren met duurzame initiatieven, is de gemeente Ten Boer van mening dat deze initiatieven niet naar de letter van wet- en regelgeving beoordeeld moeten worden, maar een passende beoordeling verdienen die rekening houdt met de aard van de initiatieven. </w:t>
            </w:r>
          </w:p>
          <w:p>
            <w:pPr>
              <w:rPr>
                <w:rFonts w:ascii="Arial" w:hAnsi="Arial" w:cs="Arial"/>
              </w:rPr>
            </w:pPr>
          </w:p>
          <w:p>
            <w:pPr>
              <w:rPr>
                <w:rFonts w:ascii="Arial" w:hAnsi="Arial" w:cs="Arial"/>
              </w:rPr>
            </w:pPr>
            <w:r>
              <w:rPr>
                <w:rFonts w:ascii="Arial" w:hAnsi="Arial" w:cs="Arial"/>
              </w:rPr>
              <w:t>Concreet betekent dit dat wat de gemeente betreft bij vergunningverlening gemotiveerd afgeweken mag worden van wet- en regelgeving, maar dat altijd moet worden nagegaan of:</w:t>
            </w:r>
          </w:p>
          <w:p>
            <w:pPr>
              <w:pStyle w:val="7"/>
              <w:numPr>
                <w:ilvl w:val="0"/>
                <w:numId w:val="1"/>
              </w:numPr>
              <w:spacing w:line="240" w:lineRule="auto"/>
              <w:rPr>
                <w:rFonts w:ascii="Arial" w:hAnsi="Arial" w:cs="Arial"/>
                <w:sz w:val="20"/>
                <w:szCs w:val="20"/>
              </w:rPr>
            </w:pPr>
            <w:r>
              <w:rPr>
                <w:rFonts w:ascii="Arial" w:hAnsi="Arial" w:cs="Arial"/>
                <w:sz w:val="20"/>
                <w:szCs w:val="20"/>
              </w:rPr>
              <w:t>De constructie veilig is voor het beoogde gebruik.</w:t>
            </w:r>
          </w:p>
          <w:p>
            <w:pPr>
              <w:pStyle w:val="7"/>
              <w:numPr>
                <w:ilvl w:val="0"/>
                <w:numId w:val="1"/>
              </w:numPr>
              <w:spacing w:line="240" w:lineRule="auto"/>
              <w:rPr>
                <w:rFonts w:ascii="Arial" w:hAnsi="Arial" w:cs="Arial"/>
                <w:sz w:val="20"/>
                <w:szCs w:val="20"/>
              </w:rPr>
            </w:pPr>
            <w:r>
              <w:rPr>
                <w:rFonts w:ascii="Arial" w:hAnsi="Arial" w:cs="Arial"/>
                <w:sz w:val="20"/>
                <w:szCs w:val="20"/>
              </w:rPr>
              <w:t>De brandveiligheid zodanig is, dat de personen die zich in het bouwwerk bevinden, bij brand het pand kunnen verlaten en het hanteren van minimale afstanden om te voorkomen dat er brand-door-of overslag kan ontstaan.</w:t>
            </w:r>
          </w:p>
          <w:p>
            <w:pPr>
              <w:pStyle w:val="7"/>
              <w:numPr>
                <w:ilvl w:val="0"/>
                <w:numId w:val="1"/>
              </w:numPr>
              <w:spacing w:line="240" w:lineRule="auto"/>
              <w:rPr>
                <w:rFonts w:ascii="Arial" w:hAnsi="Arial" w:cs="Arial"/>
                <w:sz w:val="20"/>
                <w:szCs w:val="20"/>
              </w:rPr>
            </w:pPr>
            <w:r>
              <w:rPr>
                <w:rFonts w:ascii="Arial" w:hAnsi="Arial" w:cs="Arial"/>
                <w:sz w:val="20"/>
                <w:szCs w:val="20"/>
              </w:rPr>
              <w:t>De gezondheid van de gebruikers niet nadelig wordt beïnvloed door het wonen en/of werken in het pand.</w:t>
            </w:r>
          </w:p>
          <w:p>
            <w:pPr>
              <w:pStyle w:val="7"/>
              <w:spacing w:line="240" w:lineRule="auto"/>
              <w:ind w:left="0"/>
              <w:rPr>
                <w:rFonts w:ascii="Arial" w:hAnsi="Arial" w:cs="Arial"/>
                <w:sz w:val="20"/>
                <w:szCs w:val="20"/>
              </w:rPr>
            </w:pPr>
          </w:p>
          <w:p>
            <w:pPr>
              <w:pStyle w:val="7"/>
              <w:spacing w:line="240" w:lineRule="auto"/>
              <w:ind w:left="0"/>
              <w:rPr>
                <w:rFonts w:ascii="Arial" w:hAnsi="Arial" w:cs="Arial"/>
                <w:sz w:val="20"/>
                <w:szCs w:val="20"/>
              </w:rPr>
            </w:pPr>
          </w:p>
          <w:p>
            <w:pPr>
              <w:pStyle w:val="7"/>
              <w:spacing w:line="240" w:lineRule="auto"/>
              <w:ind w:left="0"/>
              <w:rPr>
                <w:rFonts w:ascii="Arial" w:hAnsi="Arial" w:cs="Arial"/>
                <w:sz w:val="20"/>
                <w:szCs w:val="20"/>
              </w:rPr>
            </w:pPr>
          </w:p>
          <w:p>
            <w:pPr>
              <w:keepNext/>
              <w:widowControl w:val="0"/>
              <w:suppressAutoHyphens/>
              <w:rPr>
                <w:rFonts w:ascii="Arial" w:hAnsi="Arial" w:cs="Arial"/>
                <w:b/>
              </w:rPr>
            </w:pPr>
            <w:r>
              <w:rPr>
                <w:rFonts w:ascii="Arial" w:hAnsi="Arial" w:cs="Arial"/>
                <w:b/>
              </w:rPr>
              <w:t>Historie</w:t>
            </w:r>
          </w:p>
          <w:p>
            <w:pPr>
              <w:keepNext/>
              <w:widowControl w:val="0"/>
              <w:suppressAutoHyphens/>
              <w:rPr>
                <w:rFonts w:ascii="Arial" w:hAnsi="Arial" w:cs="Arial"/>
              </w:rPr>
            </w:pPr>
            <w:r>
              <w:rPr>
                <w:rFonts w:ascii="Arial" w:hAnsi="Arial" w:cs="Arial"/>
              </w:rPr>
              <w:t xml:space="preserve">In november 2014 is aan de raad voorgesteld het gebied Woldwijk beschikbaar te stellen voor duurzame initiatieven. </w:t>
            </w:r>
          </w:p>
          <w:p>
            <w:pPr>
              <w:rPr>
                <w:rFonts w:ascii="Arial" w:hAnsi="Arial" w:cs="Arial"/>
              </w:rPr>
            </w:pPr>
            <w:r>
              <w:rPr>
                <w:rFonts w:ascii="Arial" w:hAnsi="Arial" w:cs="Arial"/>
              </w:rPr>
              <w:t>In januari 2015 zijn we met de raad in gesprek geweest over de inhoud van het begrip duurzaamheid, vervolgens zijn er twee openbare bijeenkomsten geweest waarvoor iedereen is uitgenodigd mee te denken over een duurzame invulling van Woldwijk. Het resultaat van deze avonden was dat er een groep mensen aan de slag is gegaan om de ideeën en initiatieven te inventariseren met als doel een collectief te vormen waarbinnen deze initiatieven kunnen worden ontwikkeld. In november 2015 heeft de raad besloten medewerking te verlenen aan het tijdelijk beschikbaar stellen van het gebied Woldwijk voor duurzame initiatieven.</w:t>
            </w:r>
          </w:p>
          <w:p>
            <w:pPr>
              <w:rPr>
                <w:rFonts w:ascii="Arial" w:hAnsi="Arial" w:cs="Arial"/>
              </w:rPr>
            </w:pPr>
            <w:r>
              <w:rPr>
                <w:rFonts w:ascii="Arial" w:hAnsi="Arial" w:cs="Arial"/>
              </w:rPr>
              <w:t>In december 2016 is het gebied Woldwijk in bruikleen gegeven aan vereniging coöperatie Woldwijk voor een periode van 20 jaar.</w:t>
            </w:r>
          </w:p>
          <w:p>
            <w:pPr>
              <w:keepNext/>
              <w:widowControl w:val="0"/>
              <w:suppressAutoHyphens/>
              <w:rPr>
                <w:rFonts w:ascii="Arial" w:hAnsi="Arial" w:cs="Arial"/>
              </w:rPr>
            </w:pPr>
          </w:p>
          <w:p>
            <w:pPr>
              <w:keepNext/>
              <w:widowControl w:val="0"/>
              <w:suppressAutoHyphens/>
              <w:rPr>
                <w:rFonts w:ascii="Arial" w:hAnsi="Arial" w:cs="Arial"/>
                <w:b/>
              </w:rPr>
            </w:pPr>
            <w:r>
              <w:rPr>
                <w:rFonts w:ascii="Arial" w:hAnsi="Arial" w:cs="Arial"/>
                <w:b/>
              </w:rPr>
              <w:t>Wat zijn de risico’s van deze werkwijze en het vaststellen van dit beleidskader?</w:t>
            </w:r>
          </w:p>
          <w:p>
            <w:pPr>
              <w:pStyle w:val="7"/>
              <w:numPr>
                <w:ilvl w:val="0"/>
                <w:numId w:val="2"/>
              </w:numPr>
              <w:spacing w:line="256" w:lineRule="auto"/>
              <w:ind w:left="360"/>
              <w:rPr>
                <w:rFonts w:ascii="Arial" w:hAnsi="Arial" w:cs="Arial"/>
                <w:sz w:val="20"/>
                <w:szCs w:val="20"/>
              </w:rPr>
            </w:pPr>
            <w:r>
              <w:rPr>
                <w:rFonts w:ascii="Arial" w:hAnsi="Arial" w:cs="Arial"/>
                <w:sz w:val="20"/>
                <w:szCs w:val="20"/>
              </w:rPr>
              <w:t>Het onderhavige beleidskader verkent de grenzen van wat is toegestaan wat betreft wet- en regelgeving.</w:t>
            </w:r>
          </w:p>
          <w:p>
            <w:pPr>
              <w:pStyle w:val="7"/>
              <w:numPr>
                <w:ilvl w:val="0"/>
                <w:numId w:val="2"/>
              </w:numPr>
              <w:spacing w:line="256" w:lineRule="auto"/>
              <w:ind w:left="360"/>
              <w:rPr>
                <w:rFonts w:ascii="Arial" w:hAnsi="Arial" w:cs="Arial"/>
                <w:sz w:val="20"/>
                <w:szCs w:val="20"/>
              </w:rPr>
            </w:pPr>
            <w:r>
              <w:rPr>
                <w:rFonts w:ascii="Arial" w:hAnsi="Arial" w:cs="Arial"/>
                <w:sz w:val="20"/>
                <w:szCs w:val="20"/>
              </w:rPr>
              <w:t xml:space="preserve">Het vaststellen van het beleidskader vindt dus plaats via een kort traject van college naar de gemeenteraad. Daarom is een delegatie van de raad gevraagd om het concept-beleidskader mee te beoordelen ten behoeve van inhoudelijke afstemming en bestuurlijk draagvlak. </w:t>
            </w:r>
          </w:p>
          <w:p>
            <w:pPr>
              <w:pStyle w:val="7"/>
              <w:numPr>
                <w:ilvl w:val="0"/>
                <w:numId w:val="2"/>
              </w:numPr>
              <w:spacing w:line="256" w:lineRule="auto"/>
              <w:ind w:left="360"/>
              <w:rPr>
                <w:rFonts w:ascii="Arial" w:hAnsi="Arial" w:cs="Arial"/>
                <w:sz w:val="20"/>
                <w:szCs w:val="20"/>
              </w:rPr>
            </w:pPr>
            <w:r>
              <w:rPr>
                <w:rFonts w:ascii="Arial" w:hAnsi="Arial" w:cs="Arial"/>
                <w:sz w:val="20"/>
                <w:szCs w:val="20"/>
              </w:rPr>
              <w:t>Dit beleidskader gaat uit van het principe dat het gemeentebestuur iets gaat toestaan, iets mogelijk gaat maken, dat op dit moment naar de letter van de wet niet gerealiseerd kan worden. Dit komt in individuele situaties wel vaker voor. Meestal echter niet heel expliciet en niet voor een bundeling van activiteiten zoals op Woldwijk. In vergelijkbare situaties bij andere gemeenten worden activiteiten en bouwwerken dan vaak oogluikend toegestaan of wordt er afgezien van handhaving. In Woldwijk willen we dat vermijden door transparant te zijn, te werken met een aangepaste vergunningverlening, maar wel met overleg, toetsing, toezicht en handhaving waar nodig.</w:t>
            </w:r>
          </w:p>
          <w:p>
            <w:pPr>
              <w:pStyle w:val="7"/>
              <w:numPr>
                <w:ilvl w:val="0"/>
                <w:numId w:val="2"/>
              </w:numPr>
              <w:spacing w:line="256" w:lineRule="auto"/>
              <w:ind w:left="360"/>
              <w:rPr>
                <w:rFonts w:ascii="Arial" w:hAnsi="Arial" w:cs="Arial"/>
                <w:sz w:val="20"/>
                <w:szCs w:val="20"/>
              </w:rPr>
            </w:pPr>
            <w:r>
              <w:rPr>
                <w:rFonts w:ascii="Arial" w:hAnsi="Arial" w:cs="Arial"/>
                <w:sz w:val="20"/>
                <w:szCs w:val="20"/>
              </w:rPr>
              <w:t>Iedereen heeft in Nederland gelijke rechten (en plichten). Daarom bestaan vergunningenprocedures waarbij afwegingen inzake risico’s en schade worden gemaakt. Door de koepelvergunningaanvraag op essentiële onderdelen wel te toetsen (zie hierboven), en daarna door een omgevingsteam de nadere uitwerking te laten toetsen en daarop toe te laten zien, beperken we het risico voor alle betrokkenen, inclusief de gemeente.</w:t>
            </w:r>
          </w:p>
          <w:p>
            <w:pPr>
              <w:pStyle w:val="7"/>
              <w:numPr>
                <w:ilvl w:val="0"/>
                <w:numId w:val="2"/>
              </w:numPr>
              <w:spacing w:line="256" w:lineRule="auto"/>
              <w:ind w:left="360"/>
              <w:rPr>
                <w:rFonts w:ascii="Arial" w:hAnsi="Arial" w:cs="Arial"/>
                <w:sz w:val="20"/>
                <w:szCs w:val="20"/>
              </w:rPr>
            </w:pPr>
            <w:r>
              <w:rPr>
                <w:rFonts w:ascii="Arial" w:hAnsi="Arial" w:cs="Arial"/>
                <w:sz w:val="20"/>
                <w:szCs w:val="20"/>
              </w:rPr>
              <w:t>Dat laat onverlet dat wanneer een verzoek om handhaving wordt ingediend, dit verzoek wel serieus genomen moet worden en in behandeling moet worden genomen.</w:t>
            </w:r>
          </w:p>
          <w:p>
            <w:pPr>
              <w:pStyle w:val="7"/>
              <w:numPr>
                <w:ilvl w:val="0"/>
                <w:numId w:val="2"/>
              </w:numPr>
              <w:spacing w:line="256" w:lineRule="auto"/>
              <w:ind w:left="360"/>
              <w:rPr>
                <w:rFonts w:ascii="Arial" w:hAnsi="Arial" w:cs="Arial"/>
                <w:sz w:val="20"/>
                <w:szCs w:val="20"/>
              </w:rPr>
            </w:pPr>
            <w:r>
              <w:rPr>
                <w:rFonts w:ascii="Arial" w:hAnsi="Arial" w:cs="Arial"/>
                <w:sz w:val="20"/>
                <w:szCs w:val="20"/>
              </w:rPr>
              <w:t>Wanneer de gemeente de koepelvergunning verleent en die vergunning wordt daarna vernietigd als gevolg van bezwaar of andere omstandigheden, dan kunnen degenen die als gevolg daarvan schade leiden, in principe deze schade claimen bij de gemeente. Dit risico beperken we zoveel mogelijk door met betrokkenen transparant te zijn over deze vergunningensituatie, dat ook schriftelijk vast te leggen en daarnaast een proces in gang te zetten voor een duurzame oplossing.</w:t>
            </w:r>
          </w:p>
          <w:p>
            <w:pPr>
              <w:pStyle w:val="7"/>
              <w:numPr>
                <w:ilvl w:val="0"/>
                <w:numId w:val="2"/>
              </w:numPr>
              <w:spacing w:line="256" w:lineRule="auto"/>
              <w:ind w:left="360"/>
              <w:rPr>
                <w:rFonts w:ascii="Arial" w:hAnsi="Arial" w:cs="Arial"/>
                <w:sz w:val="20"/>
                <w:szCs w:val="20"/>
              </w:rPr>
            </w:pPr>
            <w:r>
              <w:rPr>
                <w:rFonts w:ascii="Arial" w:hAnsi="Arial" w:cs="Arial"/>
                <w:sz w:val="20"/>
                <w:szCs w:val="20"/>
              </w:rPr>
              <w:t>Indien de voorgestelde oplossing niet wordt gevolgd, dan zullen de diverse voorgenomen activiteiten rondom de boerderij niet gerealiseerd worden. Daarmee verliest de coöperatie mogelijke nieuwe leden en inkomsten (uit verhuur van grond). De coöperatie heeft echter wel inkomsten nodig om de jaarlijkse huur aan de gemeente te voldoen.</w:t>
            </w:r>
          </w:p>
          <w:p>
            <w:pPr>
              <w:keepNext/>
              <w:widowControl w:val="0"/>
              <w:suppressAutoHyphens/>
              <w:rPr>
                <w:rFonts w:ascii="Arial" w:hAnsi="Arial" w:cs="Arial"/>
                <w:b/>
              </w:rPr>
            </w:pPr>
          </w:p>
          <w:p>
            <w:pPr>
              <w:keepNext/>
              <w:widowControl w:val="0"/>
              <w:suppressAutoHyphens/>
              <w:rPr>
                <w:rFonts w:ascii="Arial" w:hAnsi="Arial" w:cs="Arial"/>
                <w:b/>
              </w:rPr>
            </w:pPr>
            <w:bookmarkStart w:id="9" w:name="_GoBack"/>
            <w:bookmarkEnd w:id="9"/>
          </w:p>
          <w:p>
            <w:pPr>
              <w:keepNext/>
              <w:widowControl w:val="0"/>
              <w:suppressAutoHyphens/>
              <w:rPr>
                <w:rFonts w:ascii="Arial" w:hAnsi="Arial" w:cs="Arial"/>
                <w:b/>
              </w:rPr>
            </w:pPr>
          </w:p>
          <w:p>
            <w:pPr>
              <w:keepNext/>
              <w:widowControl w:val="0"/>
              <w:suppressAutoHyphens/>
              <w:rPr>
                <w:rFonts w:ascii="Arial" w:hAnsi="Arial" w:cs="Arial"/>
                <w:b/>
              </w:rPr>
            </w:pPr>
            <w:r>
              <w:rPr>
                <w:rFonts w:ascii="Arial" w:hAnsi="Arial" w:cs="Arial"/>
                <w:b/>
              </w:rPr>
              <w:t>Hoe gaat zoiets elders in Nederland?</w:t>
            </w:r>
          </w:p>
          <w:p>
            <w:pPr>
              <w:rPr>
                <w:rFonts w:ascii="Arial" w:hAnsi="Arial" w:cs="Arial"/>
              </w:rPr>
            </w:pPr>
            <w:r>
              <w:rPr>
                <w:rFonts w:ascii="Arial" w:hAnsi="Arial" w:cs="Arial"/>
              </w:rPr>
              <w:t>In vergelijkbare situaties in Nederland is duidelijk dat onze wet- en regelgeving niet is toegerust om dit soort experimenteersituaties adequaat te bedienen. Voor proeftuinen en experimenteersituaties zal een aangepaste vergunningensituatie moeten kunnen worden geregeld, die recht doet aan de rechten, plichten en risico’s van de betrokken partijen. Daarom zullen we samen met de gemeente Groningen en de provincie Groningen gaan optrekken om zorg te dragen voor een duurzame vergunningensituatie voor Woldwijk. Ook proberen we te leren van andere gemeenten die vergelijkbare projecten binnen hun grenzen hebben (Gouda, Breda, Almere).</w:t>
            </w:r>
            <w:bookmarkEnd w:id="5"/>
          </w:p>
        </w:tc>
      </w:tr>
      <w:tr>
        <w:tblPrEx>
          <w:tblLayout w:type="fixed"/>
          <w:tblCellMar>
            <w:top w:w="0" w:type="dxa"/>
            <w:left w:w="70" w:type="dxa"/>
            <w:bottom w:w="0" w:type="dxa"/>
            <w:right w:w="70" w:type="dxa"/>
          </w:tblCellMar>
        </w:tblPrEx>
        <w:tc>
          <w:tcPr>
            <w:tcW w:w="2055" w:type="dxa"/>
          </w:tcPr>
          <w:p>
            <w:pPr>
              <w:rPr>
                <w:rFonts w:ascii="Arial" w:hAnsi="Arial" w:cs="Arial"/>
                <w:b/>
              </w:rPr>
            </w:pPr>
          </w:p>
        </w:tc>
        <w:tc>
          <w:tcPr>
            <w:tcW w:w="7087" w:type="dxa"/>
            <w:gridSpan w:val="2"/>
          </w:tcPr>
          <w:p>
            <w:pPr>
              <w:keepNext/>
              <w:widowControl w:val="0"/>
              <w:suppressAutoHyphens/>
              <w:rPr>
                <w:rFonts w:ascii="Arial" w:hAnsi="Arial" w:cs="Arial"/>
              </w:rPr>
            </w:pPr>
          </w:p>
        </w:tc>
      </w:tr>
      <w:tr>
        <w:tblPrEx>
          <w:tblLayout w:type="fixed"/>
          <w:tblCellMar>
            <w:top w:w="0" w:type="dxa"/>
            <w:left w:w="70" w:type="dxa"/>
            <w:bottom w:w="0" w:type="dxa"/>
            <w:right w:w="70" w:type="dxa"/>
          </w:tblCellMar>
        </w:tblPrEx>
        <w:tc>
          <w:tcPr>
            <w:tcW w:w="2055" w:type="dxa"/>
          </w:tcPr>
          <w:p>
            <w:pPr>
              <w:rPr>
                <w:rFonts w:ascii="Arial" w:hAnsi="Arial" w:cs="Arial"/>
                <w:b/>
              </w:rPr>
            </w:pPr>
          </w:p>
        </w:tc>
        <w:tc>
          <w:tcPr>
            <w:tcW w:w="7087" w:type="dxa"/>
            <w:gridSpan w:val="2"/>
          </w:tcPr>
          <w:p>
            <w:pPr>
              <w:rPr>
                <w:rFonts w:ascii="Arial" w:hAnsi="Arial" w:cs="Arial"/>
              </w:rPr>
            </w:pPr>
          </w:p>
        </w:tc>
      </w:tr>
      <w:tr>
        <w:tblPrEx>
          <w:tblLayout w:type="fixed"/>
          <w:tblCellMar>
            <w:top w:w="0" w:type="dxa"/>
            <w:left w:w="70" w:type="dxa"/>
            <w:bottom w:w="0" w:type="dxa"/>
            <w:right w:w="70" w:type="dxa"/>
          </w:tblCellMar>
        </w:tblPrEx>
        <w:tc>
          <w:tcPr>
            <w:tcW w:w="5173" w:type="dxa"/>
            <w:gridSpan w:val="2"/>
          </w:tcPr>
          <w:p>
            <w:pPr>
              <w:rPr>
                <w:rFonts w:ascii="Arial" w:hAnsi="Arial" w:cs="Arial"/>
              </w:rPr>
            </w:pPr>
          </w:p>
        </w:tc>
        <w:tc>
          <w:tcPr>
            <w:tcW w:w="3969" w:type="dxa"/>
          </w:tcPr>
          <w:p>
            <w:pPr>
              <w:tabs>
                <w:tab w:val="left" w:pos="497"/>
              </w:tabs>
              <w:rPr>
                <w:rFonts w:ascii="Arial" w:hAnsi="Arial" w:cs="Arial"/>
              </w:rPr>
            </w:pPr>
            <w:r>
              <w:rPr>
                <w:rFonts w:ascii="Arial" w:hAnsi="Arial" w:cs="Arial"/>
              </w:rPr>
              <w:t>Ten Boer, 16 maart 2017</w:t>
            </w:r>
          </w:p>
          <w:p>
            <w:pPr>
              <w:tabs>
                <w:tab w:val="left" w:pos="497"/>
              </w:tabs>
              <w:rPr>
                <w:rFonts w:ascii="Arial" w:hAnsi="Arial" w:cs="Arial"/>
              </w:rPr>
            </w:pPr>
          </w:p>
          <w:p>
            <w:pPr>
              <w:tabs>
                <w:tab w:val="left" w:pos="497"/>
              </w:tabs>
              <w:rPr>
                <w:rFonts w:ascii="Arial" w:hAnsi="Arial" w:cs="Arial"/>
              </w:rPr>
            </w:pPr>
            <w:r>
              <w:rPr>
                <w:rFonts w:ascii="Arial" w:hAnsi="Arial" w:cs="Arial"/>
              </w:rPr>
              <w:t>Burgemeester en wethouders</w:t>
            </w:r>
          </w:p>
          <w:p>
            <w:pPr>
              <w:tabs>
                <w:tab w:val="left" w:pos="497"/>
              </w:tabs>
              <w:rPr>
                <w:rFonts w:ascii="Arial" w:hAnsi="Arial" w:cs="Arial"/>
              </w:rPr>
            </w:pPr>
            <w:r>
              <w:rPr>
                <w:rFonts w:ascii="Arial" w:hAnsi="Arial" w:cs="Arial"/>
              </w:rPr>
              <w:t>van de gemeente Ten Boer,</w:t>
            </w:r>
          </w:p>
          <w:p>
            <w:pPr>
              <w:tabs>
                <w:tab w:val="left" w:pos="497"/>
              </w:tabs>
              <w:rPr>
                <w:rFonts w:ascii="Arial" w:hAnsi="Arial" w:cs="Arial"/>
              </w:rPr>
            </w:pPr>
          </w:p>
          <w:p>
            <w:pPr>
              <w:tabs>
                <w:tab w:val="left" w:pos="497"/>
              </w:tabs>
              <w:rPr>
                <w:rFonts w:ascii="Arial" w:hAnsi="Arial" w:cs="Arial"/>
              </w:rPr>
            </w:pPr>
          </w:p>
          <w:p>
            <w:pPr>
              <w:tabs>
                <w:tab w:val="left" w:pos="497"/>
              </w:tabs>
              <w:rPr>
                <w:rFonts w:ascii="Arial" w:hAnsi="Arial" w:cs="Arial"/>
              </w:rPr>
            </w:pPr>
          </w:p>
          <w:p>
            <w:pPr>
              <w:tabs>
                <w:tab w:val="left" w:pos="497"/>
              </w:tabs>
              <w:rPr>
                <w:rFonts w:ascii="Arial" w:hAnsi="Arial" w:cs="Arial"/>
              </w:rPr>
            </w:pPr>
            <w:r>
              <w:rPr>
                <w:rFonts w:ascii="Arial" w:hAnsi="Arial" w:cs="Arial"/>
                <w:b/>
              </w:rPr>
              <w:tab/>
            </w:r>
            <w:r>
              <w:rPr>
                <w:rFonts w:ascii="Arial" w:hAnsi="Arial" w:cs="Arial"/>
              </w:rPr>
              <w:t>N.A. van de Nadort, burgemeester</w:t>
            </w:r>
          </w:p>
          <w:p>
            <w:pPr>
              <w:tabs>
                <w:tab w:val="left" w:pos="497"/>
              </w:tabs>
              <w:rPr>
                <w:rFonts w:ascii="Arial" w:hAnsi="Arial" w:cs="Arial"/>
              </w:rPr>
            </w:pPr>
          </w:p>
          <w:p>
            <w:pPr>
              <w:tabs>
                <w:tab w:val="left" w:pos="497"/>
              </w:tabs>
              <w:rPr>
                <w:rFonts w:ascii="Arial" w:hAnsi="Arial" w:cs="Arial"/>
              </w:rPr>
            </w:pPr>
          </w:p>
          <w:p>
            <w:pPr>
              <w:tabs>
                <w:tab w:val="left" w:pos="497"/>
              </w:tabs>
              <w:rPr>
                <w:rFonts w:ascii="Arial" w:hAnsi="Arial" w:cs="Arial"/>
              </w:rPr>
            </w:pPr>
          </w:p>
          <w:p>
            <w:pPr>
              <w:tabs>
                <w:tab w:val="left" w:pos="497"/>
              </w:tabs>
              <w:rPr>
                <w:rFonts w:ascii="Arial" w:hAnsi="Arial" w:cs="Arial"/>
              </w:rPr>
            </w:pPr>
          </w:p>
          <w:p>
            <w:pPr>
              <w:tabs>
                <w:tab w:val="left" w:pos="497"/>
              </w:tabs>
              <w:rPr>
                <w:rFonts w:ascii="Arial" w:hAnsi="Arial" w:cs="Arial"/>
              </w:rPr>
            </w:pPr>
            <w:r>
              <w:rPr>
                <w:rFonts w:ascii="Arial" w:hAnsi="Arial" w:cs="Arial"/>
              </w:rPr>
              <w:tab/>
            </w:r>
            <w:r>
              <w:rPr>
                <w:rFonts w:ascii="Arial" w:hAnsi="Arial" w:cs="Arial"/>
              </w:rPr>
              <w:t>J.C. de Groot, secretaris</w:t>
            </w:r>
          </w:p>
        </w:tc>
      </w:tr>
      <w:tr>
        <w:tblPrEx>
          <w:tblLayout w:type="fixed"/>
          <w:tblCellMar>
            <w:top w:w="0" w:type="dxa"/>
            <w:left w:w="70" w:type="dxa"/>
            <w:bottom w:w="0" w:type="dxa"/>
            <w:right w:w="70" w:type="dxa"/>
          </w:tblCellMar>
        </w:tblPrEx>
        <w:tc>
          <w:tcPr>
            <w:tcW w:w="9142" w:type="dxa"/>
            <w:gridSpan w:val="3"/>
          </w:tcPr>
          <w:p>
            <w:pPr>
              <w:rPr>
                <w:rFonts w:ascii="Arial" w:hAnsi="Arial" w:cs="Arial"/>
              </w:rPr>
            </w:pPr>
          </w:p>
        </w:tc>
      </w:tr>
      <w:tr>
        <w:tblPrEx>
          <w:tblLayout w:type="fixed"/>
          <w:tblCellMar>
            <w:top w:w="0" w:type="dxa"/>
            <w:left w:w="70" w:type="dxa"/>
            <w:bottom w:w="0" w:type="dxa"/>
            <w:right w:w="70" w:type="dxa"/>
          </w:tblCellMar>
        </w:tblPrEx>
        <w:tc>
          <w:tcPr>
            <w:tcW w:w="9142" w:type="dxa"/>
            <w:gridSpan w:val="3"/>
          </w:tcPr>
          <w:p>
            <w:pPr>
              <w:rPr>
                <w:rFonts w:ascii="Arial" w:hAnsi="Arial" w:cs="Arial"/>
              </w:rPr>
            </w:pPr>
          </w:p>
        </w:tc>
      </w:tr>
      <w:tr>
        <w:tblPrEx>
          <w:tblLayout w:type="fixed"/>
          <w:tblCellMar>
            <w:top w:w="0" w:type="dxa"/>
            <w:left w:w="70" w:type="dxa"/>
            <w:bottom w:w="0" w:type="dxa"/>
            <w:right w:w="70" w:type="dxa"/>
          </w:tblCellMar>
        </w:tblPrEx>
        <w:tc>
          <w:tcPr>
            <w:tcW w:w="9142" w:type="dxa"/>
            <w:gridSpan w:val="3"/>
          </w:tcPr>
          <w:p>
            <w:pPr>
              <w:rPr>
                <w:rFonts w:ascii="Arial" w:hAnsi="Arial" w:cs="Arial"/>
                <w:b/>
                <w:u w:val="single"/>
              </w:rPr>
            </w:pPr>
            <w:r>
              <w:rPr>
                <w:rFonts w:ascii="Arial" w:hAnsi="Arial" w:cs="Arial"/>
                <w:b/>
                <w:u w:val="single"/>
              </w:rPr>
              <w:t>Bijlagen:</w:t>
            </w:r>
          </w:p>
        </w:tc>
      </w:tr>
      <w:tr>
        <w:tblPrEx>
          <w:tblLayout w:type="fixed"/>
          <w:tblCellMar>
            <w:top w:w="0" w:type="dxa"/>
            <w:left w:w="70" w:type="dxa"/>
            <w:bottom w:w="0" w:type="dxa"/>
            <w:right w:w="70" w:type="dxa"/>
          </w:tblCellMar>
        </w:tblPrEx>
        <w:tc>
          <w:tcPr>
            <w:tcW w:w="9142" w:type="dxa"/>
            <w:gridSpan w:val="3"/>
          </w:tcPr>
          <w:p>
            <w:pPr>
              <w:rPr>
                <w:rFonts w:ascii="Arial" w:hAnsi="Arial" w:cs="Arial"/>
                <w:b/>
              </w:rPr>
            </w:pPr>
            <w:r>
              <w:rPr>
                <w:rFonts w:ascii="Arial" w:hAnsi="Arial" w:cs="Arial"/>
                <w:b/>
              </w:rPr>
              <w:t xml:space="preserve">1. Bijgevoegd: </w:t>
            </w:r>
          </w:p>
          <w:p>
            <w:pPr>
              <w:rPr>
                <w:rFonts w:ascii="Arial" w:hAnsi="Arial" w:cs="Arial"/>
              </w:rPr>
            </w:pPr>
            <w:r>
              <w:rPr>
                <w:rFonts w:ascii="Arial" w:hAnsi="Arial" w:cs="Arial"/>
              </w:rPr>
              <w:t>- Conceptbesluit</w:t>
            </w:r>
          </w:p>
          <w:p>
            <w:pPr>
              <w:rPr>
                <w:rFonts w:ascii="Arial" w:hAnsi="Arial" w:cs="Arial"/>
                <w:b/>
              </w:rPr>
            </w:pPr>
            <w:r>
              <w:rPr>
                <w:rFonts w:ascii="Arial" w:hAnsi="Arial" w:cs="Arial"/>
              </w:rPr>
              <w:t>- Beleidskader Woldwijk en bijlagen</w:t>
            </w:r>
          </w:p>
        </w:tc>
      </w:tr>
      <w:tr>
        <w:tblPrEx>
          <w:tblLayout w:type="fixed"/>
          <w:tblCellMar>
            <w:top w:w="0" w:type="dxa"/>
            <w:left w:w="70" w:type="dxa"/>
            <w:bottom w:w="0" w:type="dxa"/>
            <w:right w:w="70" w:type="dxa"/>
          </w:tblCellMar>
        </w:tblPrEx>
        <w:tc>
          <w:tcPr>
            <w:tcW w:w="9142" w:type="dxa"/>
            <w:gridSpan w:val="3"/>
          </w:tcPr>
          <w:p>
            <w:pPr>
              <w:rPr>
                <w:rFonts w:ascii="Arial" w:hAnsi="Arial" w:cs="Arial"/>
                <w:b/>
              </w:rPr>
            </w:pPr>
            <w:r>
              <w:rPr>
                <w:rFonts w:ascii="Arial" w:hAnsi="Arial" w:cs="Arial"/>
                <w:b/>
              </w:rPr>
              <w:t>2. Ter inzage:</w:t>
            </w:r>
          </w:p>
        </w:tc>
      </w:tr>
      <w:tr>
        <w:tblPrEx>
          <w:tblLayout w:type="fixed"/>
          <w:tblCellMar>
            <w:top w:w="0" w:type="dxa"/>
            <w:left w:w="70" w:type="dxa"/>
            <w:bottom w:w="0" w:type="dxa"/>
            <w:right w:w="70" w:type="dxa"/>
          </w:tblCellMar>
        </w:tblPrEx>
        <w:tc>
          <w:tcPr>
            <w:tcW w:w="9142" w:type="dxa"/>
            <w:gridSpan w:val="3"/>
          </w:tcPr>
          <w:p>
            <w:pPr>
              <w:keepNext/>
              <w:widowControl w:val="0"/>
              <w:suppressAutoHyphens/>
              <w:rPr>
                <w:rFonts w:ascii="Arial" w:hAnsi="Arial" w:cs="Arial"/>
              </w:rPr>
            </w:pPr>
            <w:bookmarkStart w:id="6" w:name="Tekstvak2"/>
            <w:r>
              <w:rPr>
                <w:rFonts w:ascii="Arial" w:hAnsi="Arial" w:cs="Arial"/>
              </w:rPr>
              <w:t xml:space="preserve">-     </w:t>
            </w:r>
            <w:bookmarkEnd w:id="6"/>
          </w:p>
        </w:tc>
      </w:tr>
    </w:tbl>
    <w:p>
      <w:pPr>
        <w:rPr>
          <w:rFonts w:ascii="Arial" w:hAnsi="Arial" w:cs="Arial"/>
        </w:rPr>
      </w:pPr>
    </w:p>
    <w:p>
      <w:pPr>
        <w:rPr>
          <w:rFonts w:ascii="Arial" w:hAnsi="Arial" w:cs="Arial"/>
          <w:b/>
        </w:rPr>
      </w:pPr>
    </w:p>
    <w:p>
      <w:pPr>
        <w:tabs>
          <w:tab w:val="left" w:pos="993"/>
        </w:tabs>
        <w:rPr>
          <w:rFonts w:ascii="Arial" w:hAnsi="Arial" w:cs="Arial"/>
          <w:b/>
        </w:rPr>
        <w:sectPr>
          <w:type w:val="continuous"/>
          <w:pgSz w:w="11907" w:h="16840"/>
          <w:pgMar w:top="1418" w:right="1418" w:bottom="1418" w:left="1418" w:header="708" w:footer="708" w:gutter="0"/>
          <w:cols w:space="708" w:num="1"/>
        </w:sectPr>
      </w:pPr>
      <w:r>
        <w:rPr>
          <w:rFonts w:ascii="Arial" w:hAnsi="Arial" w:cs="Arial"/>
          <w:b/>
        </w:rPr>
        <w:br w:type="page"/>
      </w:r>
    </w:p>
    <w:p>
      <w:pPr>
        <w:tabs>
          <w:tab w:val="left" w:pos="993"/>
        </w:tabs>
        <w:rPr>
          <w:rFonts w:ascii="Arial" w:hAnsi="Arial" w:cs="Arial"/>
          <w:b/>
        </w:rPr>
      </w:pPr>
    </w:p>
    <w:p>
      <w:pPr>
        <w:tabs>
          <w:tab w:val="left" w:pos="993"/>
        </w:tabs>
        <w:rPr>
          <w:rFonts w:ascii="Arial" w:hAnsi="Arial" w:cs="Arial"/>
          <w:b/>
        </w:rPr>
      </w:pPr>
    </w:p>
    <w:p>
      <w:pPr>
        <w:tabs>
          <w:tab w:val="left" w:pos="993"/>
        </w:tabs>
        <w:rPr>
          <w:rFonts w:ascii="Arial" w:hAnsi="Arial" w:cs="Arial"/>
          <w:b/>
        </w:rPr>
      </w:pPr>
    </w:p>
    <w:p>
      <w:pPr>
        <w:tabs>
          <w:tab w:val="left" w:pos="993"/>
        </w:tabs>
        <w:rPr>
          <w:rFonts w:ascii="Arial" w:hAnsi="Arial" w:cs="Arial"/>
          <w:b/>
        </w:rPr>
      </w:pPr>
    </w:p>
    <w:p>
      <w:pPr>
        <w:tabs>
          <w:tab w:val="left" w:pos="993"/>
        </w:tabs>
        <w:rPr>
          <w:rFonts w:ascii="Arial" w:hAnsi="Arial" w:cs="Arial"/>
          <w:b/>
        </w:rPr>
      </w:pPr>
    </w:p>
    <w:p>
      <w:pPr>
        <w:tabs>
          <w:tab w:val="left" w:pos="993"/>
        </w:tabs>
        <w:rPr>
          <w:rFonts w:ascii="Arial" w:hAnsi="Arial" w:cs="Arial"/>
        </w:rPr>
      </w:pPr>
      <w:r>
        <w:rPr>
          <w:rFonts w:ascii="Arial" w:hAnsi="Arial" w:cs="Arial"/>
          <w:b/>
        </w:rPr>
        <w:t xml:space="preserve">Nr. </w:t>
      </w:r>
      <w:bookmarkStart w:id="7" w:name="Tekstvak12"/>
      <w:r>
        <w:rPr>
          <w:rFonts w:ascii="Arial" w:hAnsi="Arial" w:cs="Arial"/>
          <w:b/>
        </w:rPr>
        <w:t xml:space="preserve"> 12    </w:t>
      </w:r>
      <w:bookmarkEnd w:id="7"/>
      <w:r>
        <w:rPr>
          <w:rFonts w:ascii="Arial" w:hAnsi="Arial" w:cs="Arial"/>
          <w:b/>
        </w:rPr>
        <w:tab/>
      </w:r>
      <w:r>
        <w:rPr>
          <w:rFonts w:ascii="Arial" w:hAnsi="Arial" w:cs="Arial"/>
        </w:rPr>
        <w:t>De raad van de gemeente Ten Boer;</w:t>
      </w:r>
    </w:p>
    <w:p>
      <w:pPr>
        <w:ind w:left="993"/>
        <w:rPr>
          <w:rFonts w:ascii="Arial" w:hAnsi="Arial" w:cs="Arial"/>
        </w:rPr>
      </w:pPr>
    </w:p>
    <w:p>
      <w:pPr>
        <w:ind w:left="993"/>
        <w:rPr>
          <w:rFonts w:ascii="Arial" w:hAnsi="Arial" w:cs="Arial"/>
        </w:rPr>
      </w:pPr>
      <w:r>
        <w:rPr>
          <w:rFonts w:ascii="Arial" w:hAnsi="Arial" w:cs="Arial"/>
        </w:rPr>
        <w:t xml:space="preserve">gelezen het voorstel van burgemeester en wethouders d.d. 14 maart 2017, </w:t>
      </w:r>
    </w:p>
    <w:p>
      <w:pPr>
        <w:ind w:left="993"/>
        <w:rPr>
          <w:rFonts w:ascii="Arial" w:hAnsi="Arial" w:cs="Arial"/>
        </w:rPr>
      </w:pPr>
    </w:p>
    <w:p>
      <w:pPr>
        <w:ind w:left="993"/>
        <w:rPr>
          <w:rFonts w:ascii="Arial" w:hAnsi="Arial" w:cs="Arial"/>
        </w:rPr>
      </w:pPr>
      <w:r>
        <w:rPr>
          <w:rFonts w:ascii="Arial" w:hAnsi="Arial" w:cs="Arial"/>
        </w:rPr>
        <w:t>gelet op de desbetreffende wettelijke bepalingen;</w:t>
      </w:r>
    </w:p>
    <w:p>
      <w:pPr>
        <w:ind w:left="993"/>
        <w:rPr>
          <w:rFonts w:ascii="Arial" w:hAnsi="Arial" w:cs="Arial"/>
        </w:rPr>
      </w:pPr>
    </w:p>
    <w:p>
      <w:pPr>
        <w:ind w:left="993"/>
        <w:rPr>
          <w:rFonts w:ascii="Arial" w:hAnsi="Arial" w:cs="Arial"/>
        </w:rPr>
      </w:pPr>
    </w:p>
    <w:p>
      <w:pPr>
        <w:ind w:left="993"/>
        <w:rPr>
          <w:rFonts w:ascii="Arial" w:hAnsi="Arial" w:cs="Arial"/>
        </w:rPr>
      </w:pPr>
      <w:r>
        <w:rPr>
          <w:rFonts w:ascii="Arial" w:hAnsi="Arial" w:cs="Arial"/>
          <w:b/>
        </w:rPr>
        <w:t>b  e  s  l  u  i  t :</w:t>
      </w:r>
    </w:p>
    <w:p>
      <w:pPr>
        <w:ind w:left="993"/>
        <w:rPr>
          <w:rFonts w:ascii="Arial" w:hAnsi="Arial"/>
        </w:rPr>
        <w:sectPr>
          <w:type w:val="continuous"/>
          <w:pgSz w:w="11907" w:h="16840"/>
          <w:pgMar w:top="1418" w:right="1418" w:bottom="1418" w:left="1418" w:header="708" w:footer="708" w:gutter="0"/>
          <w:cols w:space="708" w:num="1"/>
        </w:sectPr>
      </w:pPr>
    </w:p>
    <w:p>
      <w:pPr>
        <w:ind w:left="993"/>
        <w:rPr>
          <w:rFonts w:ascii="Arial" w:hAnsi="Arial"/>
        </w:rPr>
      </w:pPr>
    </w:p>
    <w:p>
      <w:pPr>
        <w:ind w:left="993"/>
        <w:rPr>
          <w:rFonts w:ascii="Arial" w:hAnsi="Arial"/>
        </w:rPr>
      </w:pPr>
    </w:p>
    <w:p>
      <w:pPr>
        <w:keepNext/>
        <w:widowControl w:val="0"/>
        <w:suppressAutoHyphens/>
        <w:ind w:left="285" w:firstLine="708"/>
        <w:rPr>
          <w:rFonts w:ascii="Arial" w:hAnsi="Arial"/>
        </w:rPr>
      </w:pPr>
      <w:r>
        <w:rPr>
          <w:rFonts w:ascii="Arial" w:hAnsi="Arial"/>
        </w:rPr>
        <w:t>Het beleidskader Woldwijk vast te stellen.</w:t>
      </w:r>
    </w:p>
    <w:p>
      <w:pPr>
        <w:ind w:left="993"/>
        <w:rPr>
          <w:rFonts w:ascii="Arial" w:hAnsi="Arial"/>
        </w:rPr>
      </w:pPr>
    </w:p>
    <w:p>
      <w:pPr>
        <w:ind w:left="993"/>
        <w:rPr>
          <w:rFonts w:ascii="Arial" w:hAnsi="Arial"/>
        </w:rPr>
      </w:pPr>
    </w:p>
    <w:p>
      <w:pPr>
        <w:ind w:left="5670"/>
        <w:rPr>
          <w:rFonts w:ascii="Arial" w:hAnsi="Arial"/>
        </w:rPr>
      </w:pPr>
      <w:r>
        <w:rPr>
          <w:rFonts w:ascii="Arial" w:hAnsi="Arial"/>
        </w:rPr>
        <w:t>Aldus besloten in de openbare</w:t>
      </w:r>
    </w:p>
    <w:p>
      <w:pPr>
        <w:ind w:left="5670"/>
        <w:rPr>
          <w:rFonts w:ascii="Arial" w:hAnsi="Arial"/>
        </w:rPr>
      </w:pPr>
      <w:r>
        <w:rPr>
          <w:rFonts w:ascii="Arial" w:hAnsi="Arial"/>
        </w:rPr>
        <w:t>vergadering van de raad van de gemeente Ten Boer,</w:t>
      </w:r>
    </w:p>
    <w:p>
      <w:pPr>
        <w:ind w:left="5670"/>
        <w:rPr>
          <w:rFonts w:ascii="Arial" w:hAnsi="Arial"/>
        </w:rPr>
      </w:pPr>
      <w:r>
        <w:rPr>
          <w:rFonts w:ascii="Arial" w:hAnsi="Arial"/>
        </w:rPr>
        <w:t xml:space="preserve">gehouden op </w:t>
      </w:r>
      <w:bookmarkStart w:id="8" w:name="Tekstvak18"/>
      <w:r>
        <w:rPr>
          <w:rFonts w:ascii="Arial" w:hAnsi="Arial"/>
        </w:rPr>
        <w:t>29 maart 2017.</w:t>
      </w:r>
      <w:r>
        <w:rPr>
          <w:rFonts w:ascii="Arial" w:hAnsi="Arial"/>
        </w:rPr>
        <w:tab/>
      </w:r>
      <w:r>
        <w:rPr>
          <w:rFonts w:ascii="Arial" w:hAnsi="Arial"/>
        </w:rPr>
        <w:tab/>
      </w:r>
      <w:r>
        <w:rPr>
          <w:rFonts w:ascii="Arial" w:hAnsi="Arial"/>
        </w:rPr>
        <w:t xml:space="preserve">     </w:t>
      </w:r>
      <w:bookmarkEnd w:id="8"/>
    </w:p>
    <w:p>
      <w:pPr>
        <w:ind w:left="5670"/>
        <w:rPr>
          <w:rFonts w:ascii="Arial" w:hAnsi="Arial"/>
        </w:rPr>
      </w:pPr>
    </w:p>
    <w:p>
      <w:pPr>
        <w:ind w:left="5670"/>
        <w:rPr>
          <w:rFonts w:ascii="Arial" w:hAnsi="Arial"/>
        </w:rPr>
      </w:pPr>
      <w:r>
        <w:rPr>
          <w:rFonts w:ascii="Arial" w:hAnsi="Arial"/>
        </w:rPr>
        <w:t>De raad voornoemd,</w:t>
      </w:r>
    </w:p>
    <w:p>
      <w:pPr>
        <w:ind w:left="5670"/>
        <w:rPr>
          <w:rFonts w:ascii="Arial" w:hAnsi="Arial"/>
        </w:rPr>
      </w:pPr>
    </w:p>
    <w:p>
      <w:pPr>
        <w:ind w:left="5670"/>
        <w:rPr>
          <w:rFonts w:ascii="Arial" w:hAnsi="Arial"/>
        </w:rPr>
      </w:pPr>
    </w:p>
    <w:p>
      <w:pPr>
        <w:rPr>
          <w:rFonts w:ascii="Arial" w:hAnsi="Arial"/>
        </w:rPr>
      </w:pPr>
      <w:r>
        <w:rPr>
          <w:rFonts w:ascii="Arial" w:hAnsi="Arial"/>
        </w:rPr>
        <w:t xml:space="preserve">                                                                                                       N.A. van de Nadort, voorzitter</w:t>
      </w:r>
    </w:p>
    <w:p>
      <w:pPr>
        <w:ind w:left="5670"/>
        <w:rPr>
          <w:rFonts w:ascii="Arial" w:hAnsi="Arial"/>
        </w:rPr>
      </w:pPr>
    </w:p>
    <w:p>
      <w:pPr>
        <w:ind w:left="5670"/>
        <w:rPr>
          <w:rFonts w:ascii="Arial" w:hAnsi="Arial"/>
        </w:rPr>
      </w:pPr>
    </w:p>
    <w:p>
      <w:pPr>
        <w:rPr>
          <w:rFonts w:ascii="Arial" w:hAnsi="Arial"/>
        </w:rPr>
      </w:pPr>
      <w:r>
        <w:rPr>
          <w:rFonts w:ascii="Arial" w:hAnsi="Arial"/>
        </w:rPr>
        <w:t xml:space="preserve">  </w:t>
      </w:r>
    </w:p>
    <w:p>
      <w:pPr>
        <w:rPr>
          <w:rFonts w:ascii="Arial" w:hAnsi="Arial"/>
        </w:rPr>
      </w:pPr>
      <w:r>
        <w:rPr>
          <w:rFonts w:ascii="Arial" w:hAnsi="Arial"/>
        </w:rPr>
        <w:t xml:space="preserve">                                                                                                      R.S. Bosma, griffier</w:t>
      </w:r>
    </w:p>
    <w:sectPr>
      <w:type w:val="continuous"/>
      <w:pgSz w:w="11907" w:h="16840"/>
      <w:pgMar w:top="1418" w:right="1418" w:bottom="1418" w:left="1418"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473"/>
    <w:multiLevelType w:val="multilevel"/>
    <w:tmpl w:val="39B924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F449D"/>
    <w:multiLevelType w:val="multilevel"/>
    <w:tmpl w:val="749F449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08"/>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A4"/>
    <w:rsid w:val="000021AE"/>
    <w:rsid w:val="00004313"/>
    <w:rsid w:val="000E198A"/>
    <w:rsid w:val="001167EF"/>
    <w:rsid w:val="00191122"/>
    <w:rsid w:val="001B4792"/>
    <w:rsid w:val="001B5693"/>
    <w:rsid w:val="00264FE7"/>
    <w:rsid w:val="003E6703"/>
    <w:rsid w:val="00420A9A"/>
    <w:rsid w:val="004430A9"/>
    <w:rsid w:val="00483597"/>
    <w:rsid w:val="00493F5D"/>
    <w:rsid w:val="00586398"/>
    <w:rsid w:val="005D5824"/>
    <w:rsid w:val="005E52BF"/>
    <w:rsid w:val="00690417"/>
    <w:rsid w:val="00693716"/>
    <w:rsid w:val="00747419"/>
    <w:rsid w:val="007534C2"/>
    <w:rsid w:val="007F6A8A"/>
    <w:rsid w:val="00804CC5"/>
    <w:rsid w:val="008277CD"/>
    <w:rsid w:val="008E5B9D"/>
    <w:rsid w:val="0093268F"/>
    <w:rsid w:val="00984B79"/>
    <w:rsid w:val="00A43E93"/>
    <w:rsid w:val="00AC7FE2"/>
    <w:rsid w:val="00B71BA4"/>
    <w:rsid w:val="00BB6662"/>
    <w:rsid w:val="00CE4087"/>
    <w:rsid w:val="00E224A7"/>
    <w:rsid w:val="00FE41A0"/>
    <w:rsid w:val="57102D96"/>
  </w:rsids>
  <m:mathPr>
    <m:lMargin m:val="0"/>
    <m:mathFont m:val="Cambria Math"/>
    <m:rMargin m:val="0"/>
    <m:wrapIndent m:val="1440"/>
    <m:brkBin m:val="before"/>
    <m:brkBinSub m:val="--"/>
    <m:defJc m:val="centerGroup"/>
    <m:intLim m:val="subSup"/>
    <m:naryLim m:val="undOvr"/>
    <m:smallFrac m:val="0"/>
    <m:dispDef/>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nl-NL" w:eastAsia="nl-NL" w:bidi="ar-SA"/>
    </w:rPr>
  </w:style>
  <w:style w:type="paragraph" w:styleId="2">
    <w:name w:val="heading 1"/>
    <w:basedOn w:val="1"/>
    <w:next w:val="1"/>
    <w:qFormat/>
    <w:uiPriority w:val="0"/>
    <w:pPr>
      <w:keepNext/>
      <w:spacing w:before="240" w:after="60"/>
      <w:outlineLvl w:val="0"/>
    </w:pPr>
    <w:rPr>
      <w:rFonts w:ascii="Arial" w:hAnsi="Arial"/>
      <w:b/>
      <w:kern w:val="28"/>
      <w:sz w:val="28"/>
    </w:rPr>
  </w:style>
  <w:style w:type="paragraph" w:styleId="3">
    <w:name w:val="heading 2"/>
    <w:basedOn w:val="1"/>
    <w:next w:val="1"/>
    <w:qFormat/>
    <w:uiPriority w:val="0"/>
    <w:pPr>
      <w:keepNext/>
      <w:jc w:val="right"/>
      <w:outlineLvl w:val="1"/>
    </w:pPr>
    <w:rPr>
      <w:rFonts w:ascii="Arial" w:hAnsi="Arial"/>
      <w:b/>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customStyle="1" w:styleId="6">
    <w:name w:val="List Paragraph"/>
    <w:basedOn w:val="1"/>
    <w:qFormat/>
    <w:uiPriority w:val="34"/>
    <w:pPr>
      <w:widowControl w:val="0"/>
      <w:ind w:left="720"/>
      <w:contextualSpacing/>
    </w:pPr>
    <w:rPr>
      <w:rFonts w:ascii="Arial" w:hAnsi="Arial"/>
      <w:snapToGrid w:val="0"/>
    </w:rPr>
  </w:style>
  <w:style w:type="paragraph" w:customStyle="1" w:styleId="7">
    <w:name w:val="Lijstalinea1"/>
    <w:basedOn w:val="1"/>
    <w:qFormat/>
    <w:uiPriority w:val="34"/>
    <w:pPr>
      <w:spacing w:after="160" w:line="259" w:lineRule="auto"/>
      <w:ind w:left="720"/>
      <w:contextualSpacing/>
    </w:pPr>
    <w:rPr>
      <w:rFonts w:asciiTheme="minorHAnsi" w:hAnsiTheme="minorHAnsi" w:eastAsiaTheme="minorHAnsi" w:cstheme="minorBidi"/>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Huisstijl Productie\Sjablonen\Ten Boer\Raadsvoorstel Ten Bo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Raadsvoorstel Ten Boer</Template>
  <Manager>N</Manager>
  <Pages>4</Pages>
  <Words>1108</Words>
  <Characters>6100</Characters>
  <Lines>50</Lines>
  <Paragraphs>14</Paragraphs>
  <TotalTime>0</TotalTime>
  <ScaleCrop>false</ScaleCrop>
  <LinksUpToDate>false</LinksUpToDate>
  <CharactersWithSpaces>7194</CharactersWithSpaces>
  <Application>WPS Office_10.2.0.5811_F1E327BC-269C-435d-A152-05C5408002CA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Overig</cp:category>
  <dcterms:created xsi:type="dcterms:W3CDTF">2017-03-16T09:45:00Z</dcterms:created>
  <dc:creator>Richard Dekker</dc:creator>
  <cp:lastModifiedBy>annie</cp:lastModifiedBy>
  <cp:lastPrinted>2411-12-31T23:00:00Z</cp:lastPrinted>
  <dcterms:modified xsi:type="dcterms:W3CDTF">2017-03-30T19:15:47Z</dcterms:modified>
  <dc:title>AAN DE RAAD VAN DE GEMEENTE TEN BOER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print">
    <vt:lpwstr>0</vt:lpwstr>
  </property>
  <property fmtid="{D5CDD505-2E9C-101B-9397-08002B2CF9AE}" pid="3" name="Status">
    <vt:lpwstr>N</vt:lpwstr>
  </property>
  <property fmtid="{D5CDD505-2E9C-101B-9397-08002B2CF9AE}" pid="4" name="Inlognaam">
    <vt:lpwstr> </vt:lpwstr>
  </property>
  <property fmtid="{D5CDD505-2E9C-101B-9397-08002B2CF9AE}" pid="5" name="KSOProductBuildVer">
    <vt:lpwstr>1033-10.2.0.5811</vt:lpwstr>
  </property>
</Properties>
</file>